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32"/>
          <w:shd w:fill="FFFFFF" w:val="clear"/>
        </w:rPr>
        <w:t xml:space="preserve">Из практики памятки, чтобы обустроить группы ДОО для всестороннего развития детей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Памятка 1. Как обустроить группу для познавательного развития детей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7638" w:dyaOrig="10885">
          <v:rect xmlns:o="urn:schemas-microsoft-com:office:office" xmlns:v="urn:schemas-microsoft-com:vml" id="rectole0000000000" style="width:381.900000pt;height:544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Памятка 2. Как обустроить группу для художественно-эстетического развития детей</w:t>
      </w: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object w:dxaOrig="7620" w:dyaOrig="10841">
          <v:rect xmlns:o="urn:schemas-microsoft-com:office:office" xmlns:v="urn:schemas-microsoft-com:vml" id="rectole0000000001" style="width:381.000000pt;height:542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Памятка 3. Как обустроить группу для физического развития детей</w:t>
      </w: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object w:dxaOrig="8700" w:dyaOrig="12060">
          <v:rect xmlns:o="urn:schemas-microsoft-com:office:office" xmlns:v="urn:schemas-microsoft-com:vml" id="rectole0000000002" style="width:435.000000pt;height:603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