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b/>
          <w:color w:val="0070C0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70C0"/>
          <w:spacing w:val="0"/>
          <w:position w:val="0"/>
          <w:sz w:val="32"/>
          <w:shd w:fill="auto" w:val="clear"/>
        </w:rPr>
        <w:t xml:space="preserve">Как организовать игровую среду детского сада с учетом ФГОС ДО</w:t>
      </w:r>
    </w:p>
    <w:p>
      <w:pPr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Игровая деятельность – основная для воспитанников детского сада. В этой лекции обсудим, как организовать в ДОО игровую среду по правилам ФГОС ДО.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7"/>
          <w:shd w:fill="auto" w:val="clear"/>
        </w:rPr>
        <w:t xml:space="preserve">Как дети могут освоить игровую деятельность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Дошкольники осваивают игры двумя способами: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 помощью взрослых и старших детей;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самостоятельно с помощью игровых материалов.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Выбирайте самые полезные предметы и материалы, которые помогут детям освоить игровую деятельность. Учитывайте индивидуальные особенности и возраст детей. Для развития дошкольников необходимы игры двух видов: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сюжетная игра;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игра с правилами.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Разберем каждый вид игр подробнее.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7"/>
          <w:shd w:fill="auto" w:val="clear"/>
        </w:rPr>
        <w:t xml:space="preserve">Какие бывают сюжетные игры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сюжетных играх дети воображают различные ситуации и придумывают, как будут себя вести. У сюжетной игры есть свои разновидности (таблица 1).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Таблица 1. Разновидности сюжетной игры</w:t>
      </w:r>
    </w:p>
    <w:tbl>
      <w:tblPr/>
      <w:tblGrid>
        <w:gridCol w:w="2574"/>
        <w:gridCol w:w="6191"/>
      </w:tblGrid>
      <w:tr>
        <w:trPr>
          <w:trHeight w:val="1" w:hRule="atLeast"/>
          <w:jc w:val="left"/>
        </w:trPr>
        <w:tc>
          <w:tcPr>
            <w:tcW w:w="257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0" w:after="0" w:line="360"/>
              <w:ind w:right="0" w:left="0" w:firstLine="709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Вид игры</w:t>
            </w:r>
          </w:p>
        </w:tc>
        <w:tc>
          <w:tcPr>
            <w:tcW w:w="619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0" w:after="0" w:line="360"/>
              <w:ind w:right="0" w:left="0" w:firstLine="709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Как проходит</w:t>
            </w:r>
          </w:p>
        </w:tc>
      </w:tr>
      <w:tr>
        <w:trPr>
          <w:trHeight w:val="1" w:hRule="atLeast"/>
          <w:jc w:val="left"/>
        </w:trPr>
        <w:tc>
          <w:tcPr>
            <w:tcW w:w="257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Ролевая игра</w:t>
            </w:r>
          </w:p>
        </w:tc>
        <w:tc>
          <w:tcPr>
            <w:tcW w:w="619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Ребенок строит воображаемую ситуацию, принимает</w:t>
              <w:br/>
              <w:t xml:space="preserve">на себя игровую роль. Например, игра в магазин или больницу</w:t>
            </w:r>
          </w:p>
        </w:tc>
      </w:tr>
      <w:tr>
        <w:trPr>
          <w:trHeight w:val="1" w:hRule="atLeast"/>
          <w:jc w:val="left"/>
        </w:trPr>
        <w:tc>
          <w:tcPr>
            <w:tcW w:w="257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Режиссерская игра</w:t>
            </w:r>
          </w:p>
        </w:tc>
        <w:tc>
          <w:tcPr>
            <w:tcW w:w="619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Ребенок придумывает ситуацию, подбирает роли для предметов и игрушек. Например, игра с куклами</w:t>
            </w:r>
          </w:p>
        </w:tc>
      </w:tr>
      <w:tr>
        <w:trPr>
          <w:trHeight w:val="1" w:hRule="atLeast"/>
          <w:jc w:val="left"/>
        </w:trPr>
        <w:tc>
          <w:tcPr>
            <w:tcW w:w="257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Игра-фантазия</w:t>
            </w:r>
          </w:p>
        </w:tc>
        <w:tc>
          <w:tcPr>
            <w:tcW w:w="619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Ребенок придумывает сказку или историю, которая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происходит с кем-то, а не с ним</w:t>
            </w:r>
          </w:p>
        </w:tc>
      </w:tr>
    </w:tbl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Развитие игровой деятельности у дошкольников происходит поэтапно (см. рисунок ниже).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Этапы развития игровой деятельности детей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object w:dxaOrig="6631" w:dyaOrig="4158">
          <v:rect xmlns:o="urn:schemas-microsoft-com:office:office" xmlns:v="urn:schemas-microsoft-com:vml" id="rectole0000000000" style="width:331.550000pt;height:207.9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7"/>
          <w:shd w:fill="auto" w:val="clear"/>
        </w:rPr>
      </w:pP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7"/>
          <w:shd w:fill="auto" w:val="clear"/>
        </w:rPr>
        <w:t xml:space="preserve">Какие материалы нужны для сюжетных игр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Сюжетная игра состоит из трех компонентов: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персонажи (роли);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действия персонажей;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место действия.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Чтобы обеспечить сюжетную игру, необходимы следующие типы материалов: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игрушки-персонажи;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предметы оперирования;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маркеры или знаки пространства.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таблице 2 – примеры игрушек и предметов, которые относятся к каждому из трех типов игровых материалов.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Таблица 2. Типы игровых материалов</w:t>
      </w:r>
    </w:p>
    <w:tbl>
      <w:tblPr/>
      <w:tblGrid>
        <w:gridCol w:w="3092"/>
        <w:gridCol w:w="5673"/>
      </w:tblGrid>
      <w:tr>
        <w:trPr>
          <w:trHeight w:val="1" w:hRule="atLeast"/>
          <w:jc w:val="left"/>
        </w:trPr>
        <w:tc>
          <w:tcPr>
            <w:tcW w:w="309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0" w:after="0" w:line="360"/>
              <w:ind w:right="0" w:left="0" w:firstLine="709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Тип материала</w:t>
            </w:r>
          </w:p>
        </w:tc>
        <w:tc>
          <w:tcPr>
            <w:tcW w:w="567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0" w:after="0" w:line="360"/>
              <w:ind w:right="0" w:left="0" w:firstLine="709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Что включает</w:t>
            </w:r>
          </w:p>
        </w:tc>
      </w:tr>
      <w:tr>
        <w:trPr>
          <w:trHeight w:val="1" w:hRule="atLeast"/>
          <w:jc w:val="left"/>
        </w:trPr>
        <w:tc>
          <w:tcPr>
            <w:tcW w:w="309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Предметы оперирования</w:t>
            </w:r>
          </w:p>
        </w:tc>
        <w:tc>
          <w:tcPr>
            <w:tcW w:w="567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Игрушки-имитации реальных предметов.</w:t>
            </w:r>
          </w:p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Пример: орудия, инструменты, чашки, утюги, молотки и т. п.</w:t>
            </w:r>
          </w:p>
        </w:tc>
      </w:tr>
      <w:tr>
        <w:trPr>
          <w:trHeight w:val="1" w:hRule="atLeast"/>
          <w:jc w:val="left"/>
        </w:trPr>
        <w:tc>
          <w:tcPr>
            <w:tcW w:w="309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Игрушки-персонажи</w:t>
            </w:r>
          </w:p>
        </w:tc>
        <w:tc>
          <w:tcPr>
            <w:tcW w:w="567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Разные куклы, фигурки людей и животных.</w:t>
            </w:r>
          </w:p>
          <w:p>
            <w:pPr>
              <w:spacing w:before="0" w:after="0" w:line="36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Ролевые атрибуты персонажей.</w:t>
            </w:r>
          </w:p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Пример: белая шапочка врача, каска пожарника, красочный ремень ковбоя и т. п.</w:t>
            </w:r>
          </w:p>
        </w:tc>
      </w:tr>
      <w:tr>
        <w:trPr>
          <w:trHeight w:val="1" w:hRule="atLeast"/>
          <w:jc w:val="left"/>
        </w:trPr>
        <w:tc>
          <w:tcPr>
            <w:tcW w:w="309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Маркеры или знаки игрового пространства</w:t>
            </w:r>
          </w:p>
        </w:tc>
        <w:tc>
          <w:tcPr>
            <w:tcW w:w="567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Игрушки, которые указывают на место действия, обстановку.</w:t>
            </w:r>
          </w:p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Пример: кухонная плита, домик и т. п.</w:t>
            </w:r>
          </w:p>
        </w:tc>
      </w:tr>
    </w:tbl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7"/>
          <w:shd w:fill="auto" w:val="clear"/>
        </w:rPr>
        <w:t xml:space="preserve">Как учитывать возраст детей при выборе игровых материалов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Детям 2–4 лет предлагайте сюжетообразующие игрушки. Задавайте полную воображаемую ситуацию самостоятельно. Используйте для этого возраста наиболее значимые игрушки – предметы оперирования.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Детям 4–5 лет давайте два типа игровых материалов в любых парных сочетаниях. Например, игрушка-персонаж и маркер пространства, предмет оперирования и ролевой атрибут и т. д.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Дети 5–7 лет используют все типы игрушек одновременно, воображают целостную игровую ситуацию. Каждый тип игрового материала может выполнять функцию запуска и поддержки игры. Предоставьте детям все типы игровых материалов.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7"/>
          <w:shd w:fill="auto" w:val="clear"/>
        </w:rPr>
        <w:t xml:space="preserve">Что означает мера условности игрушки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Игрушка каждого сюжетообразующего типа может обладать разной мерой условности. Этот показатель определяйте по трем параметрам – внешнему облику, размеру и степени готовности игрушки (таблица 3).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Таблица 3. Параметры условности игрушек</w:t>
      </w:r>
    </w:p>
    <w:tbl>
      <w:tblPr/>
      <w:tblGrid>
        <w:gridCol w:w="4382"/>
        <w:gridCol w:w="4383"/>
      </w:tblGrid>
      <w:tr>
        <w:trPr>
          <w:trHeight w:val="1" w:hRule="atLeast"/>
          <w:jc w:val="left"/>
        </w:trPr>
        <w:tc>
          <w:tcPr>
            <w:tcW w:w="43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0" w:after="0" w:line="360"/>
              <w:ind w:right="0" w:left="0" w:firstLine="709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Параметр</w:t>
            </w:r>
          </w:p>
        </w:tc>
        <w:tc>
          <w:tcPr>
            <w:tcW w:w="438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0" w:after="0" w:line="360"/>
              <w:ind w:right="0" w:left="0" w:firstLine="709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В каких игрушках проявляется</w:t>
            </w:r>
          </w:p>
        </w:tc>
      </w:tr>
      <w:tr>
        <w:trPr>
          <w:trHeight w:val="1" w:hRule="atLeast"/>
          <w:jc w:val="left"/>
        </w:trPr>
        <w:tc>
          <w:tcPr>
            <w:tcW w:w="43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Внешний облик игрушки</w:t>
            </w:r>
          </w:p>
        </w:tc>
        <w:tc>
          <w:tcPr>
            <w:tcW w:w="438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Реалистичные игрушки, то есть копии реальных предметов (пример: игрушечный автомобиль).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Прототипические игрушки, которые показывают самые существенные, типичные черты реального предмета,</w:t>
              <w:br/>
              <w:t xml:space="preserve">а остальные черты передают обобщенно.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Условные игрушки (пример: скамеечка на колесах со съемным рулем, которую можно использовать как любое транспортное средство)</w:t>
            </w:r>
          </w:p>
        </w:tc>
      </w:tr>
      <w:tr>
        <w:trPr>
          <w:trHeight w:val="1" w:hRule="atLeast"/>
          <w:jc w:val="left"/>
        </w:trPr>
        <w:tc>
          <w:tcPr>
            <w:tcW w:w="43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Размер игрушки</w:t>
            </w:r>
          </w:p>
        </w:tc>
        <w:tc>
          <w:tcPr>
            <w:tcW w:w="438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Крупные игрушки, которые приближаются к размерам реальных предметов (пример: игрушечный пластмассовый молоток, утюг).</w:t>
            </w:r>
          </w:p>
          <w:p>
            <w:pPr>
              <w:spacing w:before="0" w:after="0" w:line="36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Игрушки среднего размера.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Мелкие игрушки, которые располагают</w:t>
              <w:br/>
              <w:t xml:space="preserve">к режиссерской игре (пример: мелкие фигурки людей и животных, гаражи, железные дороги, самолеты, автомобили)</w:t>
            </w:r>
          </w:p>
        </w:tc>
      </w:tr>
      <w:tr>
        <w:trPr>
          <w:trHeight w:val="1" w:hRule="atLeast"/>
          <w:jc w:val="left"/>
        </w:trPr>
        <w:tc>
          <w:tcPr>
            <w:tcW w:w="43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Степень готовности игрушки</w:t>
            </w:r>
          </w:p>
        </w:tc>
        <w:tc>
          <w:tcPr>
            <w:tcW w:w="438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Готовые игрушки.</w:t>
            </w:r>
          </w:p>
          <w:p>
            <w:pPr>
              <w:spacing w:before="0" w:after="0" w:line="36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Игрушки–трансформеры.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Сборные игрушки (пример: сборная модель самолета, железная дорога)</w:t>
            </w:r>
          </w:p>
        </w:tc>
      </w:tr>
    </w:tbl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Игрушки можно разделить по мере условности (таблица 4).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Таблица 4. Меры условности игрушек</w:t>
      </w:r>
    </w:p>
    <w:tbl>
      <w:tblPr/>
      <w:tblGrid>
        <w:gridCol w:w="2185"/>
        <w:gridCol w:w="2178"/>
        <w:gridCol w:w="2217"/>
        <w:gridCol w:w="2185"/>
      </w:tblGrid>
      <w:tr>
        <w:trPr>
          <w:trHeight w:val="1" w:hRule="atLeast"/>
          <w:jc w:val="left"/>
        </w:trPr>
        <w:tc>
          <w:tcPr>
            <w:tcW w:w="21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Параметр</w:t>
            </w:r>
          </w:p>
        </w:tc>
        <w:tc>
          <w:tcPr>
            <w:tcW w:w="217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Минимум условности</w:t>
            </w:r>
          </w:p>
        </w:tc>
        <w:tc>
          <w:tcPr>
            <w:tcW w:w="221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Средняя условность</w:t>
            </w:r>
          </w:p>
        </w:tc>
        <w:tc>
          <w:tcPr>
            <w:tcW w:w="21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Максимум условности</w:t>
            </w:r>
          </w:p>
        </w:tc>
      </w:tr>
      <w:tr>
        <w:trPr>
          <w:trHeight w:val="1" w:hRule="atLeast"/>
          <w:jc w:val="left"/>
        </w:trPr>
        <w:tc>
          <w:tcPr>
            <w:tcW w:w="21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Внешний облик</w:t>
            </w:r>
          </w:p>
        </w:tc>
        <w:tc>
          <w:tcPr>
            <w:tcW w:w="217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Реалистическая игрушка (копия)</w:t>
            </w:r>
          </w:p>
        </w:tc>
        <w:tc>
          <w:tcPr>
            <w:tcW w:w="221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Прототипическая игрушка</w:t>
            </w:r>
          </w:p>
        </w:tc>
        <w:tc>
          <w:tcPr>
            <w:tcW w:w="21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Условная игрушка</w:t>
            </w:r>
          </w:p>
        </w:tc>
      </w:tr>
      <w:tr>
        <w:trPr>
          <w:trHeight w:val="1" w:hRule="atLeast"/>
          <w:jc w:val="left"/>
        </w:trPr>
        <w:tc>
          <w:tcPr>
            <w:tcW w:w="21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Размер</w:t>
            </w:r>
          </w:p>
        </w:tc>
        <w:tc>
          <w:tcPr>
            <w:tcW w:w="217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Крупная игрушка</w:t>
            </w:r>
          </w:p>
        </w:tc>
        <w:tc>
          <w:tcPr>
            <w:tcW w:w="221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Средняя игрушка</w:t>
            </w:r>
          </w:p>
        </w:tc>
        <w:tc>
          <w:tcPr>
            <w:tcW w:w="21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Мелкая игрушка</w:t>
            </w:r>
          </w:p>
        </w:tc>
      </w:tr>
      <w:tr>
        <w:trPr>
          <w:trHeight w:val="1" w:hRule="atLeast"/>
          <w:jc w:val="left"/>
        </w:trPr>
        <w:tc>
          <w:tcPr>
            <w:tcW w:w="21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Готовность</w:t>
            </w:r>
          </w:p>
        </w:tc>
        <w:tc>
          <w:tcPr>
            <w:tcW w:w="217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Игрушка, которую можно сразу использовать</w:t>
            </w:r>
          </w:p>
        </w:tc>
        <w:tc>
          <w:tcPr>
            <w:tcW w:w="221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Игрушка-трансформер</w:t>
            </w:r>
          </w:p>
        </w:tc>
        <w:tc>
          <w:tcPr>
            <w:tcW w:w="21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Сборная игрушка</w:t>
            </w:r>
          </w:p>
        </w:tc>
      </w:tr>
    </w:tbl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Как организовать игровую среду с учетом меры условности игрушек и возраста детей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Детей 2–3 лет развивайте при помощи готовых игрушек-прототипов крупных и средних размеров.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развитии детей 3–7 лет важен плавный переход от крупных сюжетных игрушек к мелким. К старшему дошкольному возрасту постепенно увеличивайте количество сборных игрушек. Используйте игрушки минимального и максимального полюсов условности.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Для всех возрастных групп необходимы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u w:val="single"/>
          <w:shd w:fill="auto" w:val="clear"/>
        </w:rPr>
        <w:t xml:space="preserve">полифункциональные материалы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Они не предназначены для сюжетной игры напрямую, но обслуживают игру и разнообразные замыслы детей. Особенно полифункциональные материалы важны для детей старшего дошкольного возраста.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Если не знаете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80808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808080"/>
          <w:spacing w:val="0"/>
          <w:position w:val="0"/>
          <w:sz w:val="24"/>
          <w:shd w:fill="auto" w:val="clear"/>
        </w:rPr>
        <w:t xml:space="preserve">Полифункциональные материалы – это предметы, которые могут выполнять несколько функций. Чаще не имеют специального назначения, а выступают как заместители. Например, это детали крупных строительных наборов, коробки, подушки, набивные модули, палочки, веревочки и т. п.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Какие игры с правилами предлагать дошкольникам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Игры с правилами бывают следующих видов: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 физическую компетенцию (развивают подвижность, ловкость);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 умственную компетенцию (развивают внимание, память, комбинаторику);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 удачу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шансовые игры, в которые не задействованы способности детей).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2–4 года ребенок осваивает игры по четким правилам. В 4–5,5 лет начинает понимать, как выиграть в рамках готовых правил. В 5,5–7 лет дошкольник уже может видоизменять правила по договору с партнерами.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EEEEEE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EEEEEE" w:val="clear"/>
        </w:rPr>
        <w:t xml:space="preserve">Совет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EEEEEE" w:val="clear"/>
        </w:rPr>
        <w:t xml:space="preserve"> 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EEEEEE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EEEEEE" w:val="clear"/>
        </w:rPr>
        <w:t xml:space="preserve">Учите детей играм постепенно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EEEEEE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EEEEEE" w:val="clear"/>
        </w:rPr>
        <w:t xml:space="preserve">Сначала предлагайте детям простые подвижные и результативные игры на ловкость. По мере взросления дошкольников переходите к играм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EEEEEE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EEEEEE" w:val="clear"/>
        </w:rPr>
        <w:t xml:space="preserve">на удачу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EEEEEE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EEEEEE" w:val="clear"/>
        </w:rPr>
        <w:t xml:space="preserve">и умственную компетенцию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7"/>
          <w:shd w:fill="auto" w:val="clear"/>
        </w:rPr>
        <w:t xml:space="preserve">Какие игровые материалы нужны для игр с правилами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Выделяют три типа игрового материала: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для физических игр;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для игр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 удачу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»;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для игр на умственную компетенцию.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Игры на физическую компетенцию.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Приготовьте материалы, предметы, наборы, которые поддержат движения в игре. Используйте мячи, мешочки для бросания, кегли, кольцебросы и т. д.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Шансовые игры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на удачу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Подойдут настольные наборы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Гусек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Лото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 разнообразным тематическим содержанием.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Игры на умственную компетенцию.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Приобретите настольные игры: детское домино с картинками, шашки, шахматы, нарды и т. п.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Не забывайте про традиционные игры с правилами для дошкольников. Специальных предметов и оборудования для них не нужно, только устный договор с участниками. К примеру, это некоторые подвижные игры вроде салок, словесные игры типа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«”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Да” и “нет” не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говорить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embeddings/oleObject0.bin" Id="docRId0" Type="http://schemas.openxmlformats.org/officeDocument/2006/relationships/oleObject"/><Relationship Target="media/image0.wmf" Id="docRId1" Type="http://schemas.openxmlformats.org/officeDocument/2006/relationships/image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