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2"/>
          <w:shd w:fill="auto" w:val="clear"/>
        </w:rPr>
        <w:t xml:space="preserve">Как создать специальные условия для детей в зависимости от категории ОВЗ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Дети с нарушением восприятия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этой категории относят дошкольников с нарушениями слуха и зрения. Обсудим каждое отклонение отдельно.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Дети с ОВЗ по слуху.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Речь слабослышащих и глухих детей недоразвита. Они замедленно реагируют на обращение собеседника, им тяжело размышлять логически. В коррекционной работе особое внимание уделите именно этим отклонениям дошкольников. Что и как развивать у детей, смотрите в таблице 1.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Таблица 1. В каких направлениях работать с детьми, у которых нарушения слуха</w:t>
      </w:r>
    </w:p>
    <w:tbl>
      <w:tblPr/>
      <w:tblGrid>
        <w:gridCol w:w="4382"/>
        <w:gridCol w:w="4383"/>
      </w:tblGrid>
      <w:tr>
        <w:trPr>
          <w:trHeight w:val="1" w:hRule="atLeast"/>
          <w:jc w:val="left"/>
        </w:trPr>
        <w:tc>
          <w:tcPr>
            <w:tcW w:w="43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Направление</w:t>
            </w:r>
          </w:p>
        </w:tc>
        <w:tc>
          <w:tcPr>
            <w:tcW w:w="4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работать с ребенком</w:t>
            </w:r>
          </w:p>
        </w:tc>
      </w:tr>
      <w:tr>
        <w:trPr>
          <w:trHeight w:val="1" w:hRule="atLeast"/>
          <w:jc w:val="left"/>
        </w:trPr>
        <w:tc>
          <w:tcPr>
            <w:tcW w:w="43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Полисенсорное восприятие</w:t>
            </w:r>
          </w:p>
        </w:tc>
        <w:tc>
          <w:tcPr>
            <w:tcW w:w="4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Формируйте у ребенка целостные образы предметов или явлений</w:t>
            </w:r>
          </w:p>
        </w:tc>
      </w:tr>
      <w:tr>
        <w:trPr>
          <w:trHeight w:val="1" w:hRule="atLeast"/>
          <w:jc w:val="left"/>
        </w:trPr>
        <w:tc>
          <w:tcPr>
            <w:tcW w:w="43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Зрительное восприятие</w:t>
            </w:r>
          </w:p>
        </w:tc>
        <w:tc>
          <w:tcPr>
            <w:tcW w:w="4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Формируйте понятия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цвет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величина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 детей ориентироваться в пространстве несмотря на проблемы со слухом</w:t>
            </w:r>
          </w:p>
        </w:tc>
      </w:tr>
      <w:tr>
        <w:trPr>
          <w:trHeight w:val="1" w:hRule="atLeast"/>
          <w:jc w:val="left"/>
        </w:trPr>
        <w:tc>
          <w:tcPr>
            <w:tcW w:w="43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Слуховое восприятие</w:t>
            </w:r>
          </w:p>
        </w:tc>
        <w:tc>
          <w:tcPr>
            <w:tcW w:w="4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 детей воспринимать речевые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неречевые звуки, слова-звукоподражания и слова в лепетной форме, различать звуки различных музыкальных инструментов</w:t>
            </w:r>
          </w:p>
        </w:tc>
      </w:tr>
      <w:tr>
        <w:trPr>
          <w:trHeight w:val="1" w:hRule="atLeast"/>
          <w:jc w:val="left"/>
        </w:trPr>
        <w:tc>
          <w:tcPr>
            <w:tcW w:w="43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Тактильно-двигательное восприятие</w:t>
            </w:r>
          </w:p>
        </w:tc>
        <w:tc>
          <w:tcPr>
            <w:tcW w:w="4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 детей определять форму, величину, материал и другие свойства предмета на ощупь</w:t>
            </w:r>
          </w:p>
        </w:tc>
      </w:tr>
      <w:tr>
        <w:trPr>
          <w:trHeight w:val="1" w:hRule="atLeast"/>
          <w:jc w:val="left"/>
        </w:trPr>
        <w:tc>
          <w:tcPr>
            <w:tcW w:w="43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Вибрационное восприятие</w:t>
            </w:r>
          </w:p>
        </w:tc>
        <w:tc>
          <w:tcPr>
            <w:tcW w:w="4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 детей реагировать на внешние звуки-раздражители</w:t>
            </w:r>
          </w:p>
        </w:tc>
      </w:tr>
      <w:tr>
        <w:trPr>
          <w:trHeight w:val="1" w:hRule="atLeast"/>
          <w:jc w:val="left"/>
        </w:trPr>
        <w:tc>
          <w:tcPr>
            <w:tcW w:w="43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Двигательная активность</w:t>
            </w:r>
          </w:p>
        </w:tc>
        <w:tc>
          <w:tcPr>
            <w:tcW w:w="4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Развивайте мышечную активность детей</w:t>
            </w:r>
          </w:p>
        </w:tc>
      </w:tr>
      <w:tr>
        <w:trPr>
          <w:trHeight w:val="1" w:hRule="atLeast"/>
          <w:jc w:val="left"/>
        </w:trPr>
        <w:tc>
          <w:tcPr>
            <w:tcW w:w="43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Мышление</w:t>
            </w:r>
          </w:p>
        </w:tc>
        <w:tc>
          <w:tcPr>
            <w:tcW w:w="4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Формируйте у детей наглядно-действенное, наглядно-образное</w:t>
              <w:br/>
              <w:t xml:space="preserve">и словесно-логическое мышление</w:t>
            </w:r>
          </w:p>
        </w:tc>
      </w:tr>
      <w:tr>
        <w:trPr>
          <w:trHeight w:val="1" w:hRule="atLeast"/>
          <w:jc w:val="left"/>
        </w:trPr>
        <w:tc>
          <w:tcPr>
            <w:tcW w:w="43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Речь</w:t>
            </w:r>
          </w:p>
        </w:tc>
        <w:tc>
          <w:tcPr>
            <w:tcW w:w="4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 понимать устную речь, жесты собеседника</w:t>
            </w:r>
          </w:p>
        </w:tc>
      </w:tr>
      <w:tr>
        <w:trPr>
          <w:trHeight w:val="1" w:hRule="atLeast"/>
          <w:jc w:val="left"/>
        </w:trPr>
        <w:tc>
          <w:tcPr>
            <w:tcW w:w="43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Игровая деятельность</w:t>
            </w:r>
          </w:p>
        </w:tc>
        <w:tc>
          <w:tcPr>
            <w:tcW w:w="4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Прививайте детям интерес к играм всех видов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первую очередь, у глухих и слабослышащих дошкольников нужно развивать зрительное, слуховое и тактильно-двигательное восприятие. Какие материалы для этого предусмотреть в развивающей среде, смотрите в таблице 2.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Таблица 2. Игры и игрушки, которые разовьют восприятие дошкольников</w:t>
      </w:r>
    </w:p>
    <w:tbl>
      <w:tblPr/>
      <w:tblGrid>
        <w:gridCol w:w="2824"/>
        <w:gridCol w:w="5941"/>
      </w:tblGrid>
      <w:tr>
        <w:trPr>
          <w:trHeight w:val="1" w:hRule="atLeast"/>
          <w:jc w:val="left"/>
        </w:trPr>
        <w:tc>
          <w:tcPr>
            <w:tcW w:w="28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Тип восприятия</w:t>
            </w:r>
          </w:p>
        </w:tc>
        <w:tc>
          <w:tcPr>
            <w:tcW w:w="59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предусмотреть в ДОО</w:t>
            </w:r>
          </w:p>
        </w:tc>
      </w:tr>
      <w:tr>
        <w:trPr>
          <w:trHeight w:val="1" w:hRule="atLeast"/>
          <w:jc w:val="left"/>
        </w:trPr>
        <w:tc>
          <w:tcPr>
            <w:tcW w:w="28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Зрительное</w:t>
            </w:r>
          </w:p>
        </w:tc>
        <w:tc>
          <w:tcPr>
            <w:tcW w:w="59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Игры, чтобы подбирать цвет и форму</w:t>
              <w:br/>
              <w:t xml:space="preserve">к изображениям реальных предметов, строить объекты</w:t>
              <w:br/>
              <w:t xml:space="preserve">из цветного конструктора по схемам.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Парные карточки, картинки, разрезанные на несколько частей и др.</w:t>
            </w:r>
          </w:p>
        </w:tc>
      </w:tr>
      <w:tr>
        <w:trPr>
          <w:trHeight w:val="1" w:hRule="atLeast"/>
          <w:jc w:val="left"/>
        </w:trPr>
        <w:tc>
          <w:tcPr>
            <w:tcW w:w="28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Слуховое</w:t>
            </w:r>
          </w:p>
        </w:tc>
        <w:tc>
          <w:tcPr>
            <w:tcW w:w="59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Музыкальные инструменты, звучащие игрушки, шумовые коробочки и т. п.</w:t>
            </w:r>
          </w:p>
        </w:tc>
      </w:tr>
      <w:tr>
        <w:trPr>
          <w:trHeight w:val="1" w:hRule="atLeast"/>
          <w:jc w:val="left"/>
        </w:trPr>
        <w:tc>
          <w:tcPr>
            <w:tcW w:w="28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Тактильно-двигательное</w:t>
            </w:r>
          </w:p>
        </w:tc>
        <w:tc>
          <w:tcPr>
            <w:tcW w:w="59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Тактильные лото, тканевые мешочки с различными наполнителями, мешочки с парными предметами, сенсорные дорожки,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Твистер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доски Сегена (для определения формы и величины на ощупь) и др.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Дети с ОВЗ по зрению.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Из-за плохого зрения дети плохо знают окружающий мир. Их представления о мире общие, а не конкретные. Как правило, такие дети медлительны, обладают малой психической активностью и быстро утомляются.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Расширяйте знания и представления детей об окружающем мире. Развивайте зрительное, слуховое и осязательное восприятие. Работайте со смысловой стороной речи – ребенок должен понимать, о чем вы говорите. Учите дошкольников ориентироваться в пространстве несмотря на плохое зрение.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Чтобы развивать восприятие детей с ОВЗ по зрению, приобретите: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цветные дидактические материалы крупного размера и объема;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рельефные картинки с изображением зверей, фруктов, ягод, посуды, букв, цифр и др.;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специальные наборы предметов для тактильного опознавания: овощи, фрукты, посуда, мебель, одежда, разные виды транспорта, инструменты и др.</w:t>
      </w:r>
    </w:p>
    <w:p>
      <w:pPr>
        <w:keepNext w:val="true"/>
        <w:keepLines w:val="true"/>
        <w:spacing w:before="0" w:after="0" w:line="360"/>
        <w:ind w:right="0" w:left="0" w:firstLine="709"/>
        <w:jc w:val="both"/>
        <w:rPr>
          <w:rFonts w:ascii="Cambria" w:hAnsi="Cambria" w:cs="Cambria" w:eastAsia="Cambria"/>
          <w:color w:val="365F91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Дети с моторными нарушениями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Такие дошкольники частично или полностью ограничены в произвольных движениях. В зависимости от характера заболевания и дефекта их условно подразделяют на три группы.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Группа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Это дети с остаточными проявлениями периферических параличей и парезов, дефектами стопы или кисти, легкими искривлениями позвоночника и т. п. Подобные нарушения, как правило, не мешают ребенку осваивать образовательную программу.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Группа 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Эти дети имеют различные ортопедические заболевания, при этом двигательные механизмы центральной нервной и периферической нервной системы у них не нарушены. В эту группу включают и детей с тяжелыми формами искривления позвоночника. Дошкольники второй группы могут осваивать образовательную программу, но двигательные проблемы осложняют обучение.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Группа 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Это дети с последствиями полиомиелита и церебральными параличами. Имеют нарушения двигательных механизмов нервной системы. Их психика и речь часто отклоняются от нормы, эмоции неустойчивы, есть неуверенность в собственных силах. Такие дети плохо ориентируются в пространстве и не могут обслужить себя.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EEEEEE" w:val="clear"/>
        </w:rPr>
        <w:t xml:space="preserve">На заметку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  <w:t xml:space="preserve">Как работать с детьми, у которых есть нарушения двигательного аппарата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  <w:t xml:space="preserve">Развивайте двигательные функции детей: тормозить нежелательные движения, захватывать и отпускать предметы, работать пальцами, самостоятельно ходить. Учите детей выполнять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  <w:t xml:space="preserve">правильные движения в ответ на ваши голосовые установки. Работайте с речью и произношением, если ребенок имеет такие отклонения.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Что приобрести для работы с дошкольниками.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Выбирайте игрушки, которые соответствуют реальному уровню развития ребенка. Необходимы игрушки для разных видов детской деятельности, в том числе для предметно-манипулятивной. Подойдут: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сенсорные лото, которые включают предметы разного цвета, формы, вкуса, температуры, размера, текстуры, с различными звуками;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массажные игрушки различной формы, жесткости и размера (мячики, щеточки, колечки и т. д.);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игры для развития мелкой моторики (прищепки, шнуровки, бусы и др.).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EEEEEE" w:val="clear"/>
        </w:rPr>
        <w:t xml:space="preserve">Важно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  <w:t xml:space="preserve">Позаботьтесь о безопасности детей с двигательными нарушениями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  <w:t xml:space="preserve">Помещения детского сада должны быть безопасны для всех детей, в том числе с двигательными отклонениями. Предусмотрите для таких дошкольников специальные средства передвижения – ходунки, коляски и т. п. Вход в здание детского сада оборудуйте специальными поручнями и пандусами, чтобы ребенок на коляске мог с их помощью подняться и спуститься.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  <w:t xml:space="preserve"> 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Дошкольники с нарушением интеллекта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Этим детям трудно вести познавательную деятельность, мыслить абстрактно. Задача детского сада: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научить ребенка элементарным навыкам самообслуживания;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предметно-действенное, наглядно-образное и словесно-логическое мышление;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расширить сенсорный опыт в обучении и игре;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связать практический опыт ребенка с его наглядно-абстрактными представлениями;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включить речь в мыслительную деятельность;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научить ребенка ориентироваться в пространстве.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Какие игры и игрушки приобрести для детей с интеллектуальными нарушениями, узнаете из таблицы 3.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Таблица 3. Чем оснастить ДОО для работы с детьми, у которых отклонения в интеллекте</w:t>
      </w:r>
    </w:p>
    <w:tbl>
      <w:tblPr/>
      <w:tblGrid>
        <w:gridCol w:w="3617"/>
        <w:gridCol w:w="5148"/>
      </w:tblGrid>
      <w:tr>
        <w:trPr>
          <w:trHeight w:val="1" w:hRule="atLeast"/>
          <w:jc w:val="left"/>
        </w:trPr>
        <w:tc>
          <w:tcPr>
            <w:tcW w:w="36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 и игрушки</w:t>
            </w:r>
          </w:p>
        </w:tc>
        <w:tc>
          <w:tcPr>
            <w:tcW w:w="5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чего нужны</w:t>
            </w:r>
          </w:p>
        </w:tc>
      </w:tr>
      <w:tr>
        <w:trPr>
          <w:trHeight w:val="1" w:hRule="atLeast"/>
          <w:jc w:val="left"/>
        </w:trPr>
        <w:tc>
          <w:tcPr>
            <w:tcW w:w="36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Картинки с изображением последовательных действий (схемы, как умываться, укладываться спать, одеваться и т. п.)</w:t>
            </w:r>
          </w:p>
        </w:tc>
        <w:tc>
          <w:tcPr>
            <w:tcW w:w="5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Формируют элементарные гигиенические навыки, учат ребенка обслуживать себя</w:t>
            </w:r>
          </w:p>
        </w:tc>
      </w:tr>
      <w:tr>
        <w:trPr>
          <w:trHeight w:val="1" w:hRule="atLeast"/>
          <w:jc w:val="left"/>
        </w:trPr>
        <w:tc>
          <w:tcPr>
            <w:tcW w:w="36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Дидактические игры для ориентировочно-исследовательской и речевой деятельности</w:t>
            </w:r>
          </w:p>
        </w:tc>
        <w:tc>
          <w:tcPr>
            <w:tcW w:w="5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Учат ребенка ориентироваться в окружающем мире, обследовать предметы и узнавать их свойства, определять качества</w:t>
            </w:r>
          </w:p>
        </w:tc>
      </w:tr>
      <w:tr>
        <w:trPr>
          <w:trHeight w:val="1" w:hRule="atLeast"/>
          <w:jc w:val="left"/>
        </w:trPr>
        <w:tc>
          <w:tcPr>
            <w:tcW w:w="36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 на установление связей между предметами</w:t>
              <w:br/>
              <w:t xml:space="preserve">и явлениями, на определение временной последовательности, со скрытым смыслом</w:t>
            </w:r>
          </w:p>
        </w:tc>
        <w:tc>
          <w:tcPr>
            <w:tcW w:w="5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Учат ребенка целостно воспринимать ситуацию на картинке, устанавливать причинно-следственные связи между предметами</w:t>
              <w:br/>
              <w:t xml:space="preserve">и явлениями, ориентироваться во времени</w:t>
            </w:r>
          </w:p>
        </w:tc>
      </w:tr>
      <w:tr>
        <w:trPr>
          <w:trHeight w:val="1" w:hRule="atLeast"/>
          <w:jc w:val="left"/>
        </w:trPr>
        <w:tc>
          <w:tcPr>
            <w:tcW w:w="36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Игрушки, которые отражают реальные предметы окружающего мира</w:t>
            </w:r>
          </w:p>
        </w:tc>
        <w:tc>
          <w:tcPr>
            <w:tcW w:w="5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Помогают моделировать жизненные ситуации. К примеру, железная дорога, парковка, автозаправка, больница, кухня, магазин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Дети с эмоционально-волевыми нарушениями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Этим детям тяжело общаться с окружающими, они не понимают, как это делать. Частая причина этой проблемы – расстройство аутистического спектра.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Задача ДОО – установить эмоциональный контакт с ребенком и научить его общаться с окружающим миром. Создайте для ребенка комфортную ситуацию для общения. Подкрепите ее приятными впечатлениями и не требуйте недоступных для ребенка форм взаимодействия. Постепенно учите ребенка общаться с окружающими в различных ситуациях.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Выработайте для ребенка четкий распорядок дня. Дети-аутисты любят следовать четким правилам, в том числе тем, которые придумывают для себя сами. Создайте специальные образовательные условия, которые помогут ребенку: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преодолеть негативные эмоции, сенсорный и эмоциональный дискомфорт, тревогу, страх;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побороть отрицательные аффективные формы поведения;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установить контакт с ребенком.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EEEEEE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